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1B9A4" w14:textId="7AB0A8F8" w:rsidR="002B0F3A" w:rsidRPr="00A71D31" w:rsidRDefault="002B0F3A" w:rsidP="002B0F3A">
      <w:pPr>
        <w:jc w:val="center"/>
        <w:rPr>
          <w:sz w:val="18"/>
          <w:szCs w:val="18"/>
        </w:rPr>
      </w:pPr>
      <w:bookmarkStart w:id="0" w:name="_Toc111226604"/>
      <w:r>
        <w:rPr>
          <w:rFonts w:eastAsia="Times New Roman" w:cs="Times New Roman"/>
          <w:b/>
          <w:sz w:val="18"/>
          <w:szCs w:val="18"/>
        </w:rPr>
        <w:t xml:space="preserve">        </w:t>
      </w:r>
      <w:r w:rsidRPr="00A71D31">
        <w:rPr>
          <w:rFonts w:eastAsia="Times New Roman" w:cs="Times New Roman"/>
          <w:b/>
          <w:sz w:val="18"/>
          <w:szCs w:val="18"/>
        </w:rPr>
        <w:t xml:space="preserve">NİT-SET EV ALETLERİ PAZ. </w:t>
      </w:r>
      <w:r w:rsidR="00182A70">
        <w:rPr>
          <w:rFonts w:eastAsia="Times New Roman" w:cs="Times New Roman"/>
          <w:b/>
          <w:sz w:val="18"/>
          <w:szCs w:val="18"/>
        </w:rPr>
        <w:t>SAN.</w:t>
      </w:r>
      <w:r w:rsidRPr="00A71D31">
        <w:rPr>
          <w:rFonts w:eastAsia="Times New Roman" w:cs="Times New Roman"/>
          <w:b/>
          <w:sz w:val="18"/>
          <w:szCs w:val="18"/>
        </w:rPr>
        <w:t>VE TİC. LTD. ŞTİ.</w:t>
      </w:r>
    </w:p>
    <w:p w14:paraId="4C7337D8" w14:textId="79CAB037" w:rsidR="00A71D31" w:rsidRPr="00A71D31" w:rsidRDefault="00A71D31" w:rsidP="002B0F3A">
      <w:pPr>
        <w:pStyle w:val="Balk2"/>
        <w:tabs>
          <w:tab w:val="left" w:pos="4962"/>
        </w:tabs>
        <w:spacing w:line="276" w:lineRule="auto"/>
        <w:ind w:left="360"/>
        <w:jc w:val="center"/>
        <w:rPr>
          <w:rFonts w:ascii="Times New Roman" w:hAnsi="Times New Roman" w:cs="Times New Roman"/>
          <w:b/>
          <w:color w:val="auto"/>
          <w:sz w:val="18"/>
          <w:szCs w:val="18"/>
        </w:rPr>
      </w:pPr>
      <w:r w:rsidRPr="00A71D31">
        <w:rPr>
          <w:rFonts w:ascii="Times New Roman" w:hAnsi="Times New Roman" w:cs="Times New Roman"/>
          <w:b/>
          <w:color w:val="auto"/>
          <w:sz w:val="18"/>
          <w:szCs w:val="18"/>
        </w:rPr>
        <w:t>ÇALIŞAN/STAJYER AYDINLATMA METNİ</w:t>
      </w:r>
      <w:bookmarkEnd w:id="0"/>
    </w:p>
    <w:p w14:paraId="224B04E7" w14:textId="77777777" w:rsidR="00A71D31" w:rsidRPr="00A71D31" w:rsidRDefault="00A71D31" w:rsidP="00A71D31">
      <w:pPr>
        <w:numPr>
          <w:ilvl w:val="1"/>
          <w:numId w:val="1"/>
        </w:numPr>
        <w:spacing w:line="276" w:lineRule="auto"/>
        <w:jc w:val="both"/>
        <w:rPr>
          <w:sz w:val="18"/>
          <w:szCs w:val="18"/>
        </w:rPr>
      </w:pPr>
      <w:r w:rsidRPr="00A71D31">
        <w:rPr>
          <w:rFonts w:eastAsia="Times New Roman" w:cs="Times New Roman"/>
          <w:b/>
          <w:sz w:val="18"/>
          <w:szCs w:val="18"/>
        </w:rPr>
        <w:t>Veri Sorumlusu</w:t>
      </w:r>
    </w:p>
    <w:p w14:paraId="3307C7DE" w14:textId="77777777" w:rsidR="00A71D31" w:rsidRPr="00A71D31" w:rsidRDefault="00A71D31" w:rsidP="00A71D31">
      <w:pPr>
        <w:spacing w:line="276" w:lineRule="auto"/>
        <w:jc w:val="both"/>
        <w:rPr>
          <w:sz w:val="18"/>
          <w:szCs w:val="18"/>
        </w:rPr>
      </w:pPr>
      <w:r w:rsidRPr="00A71D31">
        <w:rPr>
          <w:rFonts w:eastAsia="Times New Roman" w:cs="Times New Roman"/>
          <w:b/>
          <w:sz w:val="18"/>
          <w:szCs w:val="18"/>
        </w:rPr>
        <w:t>NİT-SET EV ALETLERİ PAZ. VE TİC. LTD. ŞTİ.</w:t>
      </w:r>
      <w:r w:rsidRPr="00A71D31">
        <w:rPr>
          <w:rFonts w:eastAsia="Times New Roman" w:cs="Times New Roman"/>
          <w:b/>
          <w:sz w:val="18"/>
          <w:szCs w:val="16"/>
        </w:rPr>
        <w:t xml:space="preserve"> </w:t>
      </w:r>
      <w:r w:rsidRPr="00A71D31">
        <w:rPr>
          <w:rFonts w:eastAsia="Times New Roman" w:cs="Times New Roman"/>
          <w:sz w:val="18"/>
          <w:szCs w:val="18"/>
        </w:rPr>
        <w:t>olarak kişisel verilerinizi, 6698 sayılı Kişisel Verilerin Korunması Kanunu (“KVKK") ve ilgili sair mevzuat kapsamında, veri sorumlusu sıfatıyla işleriz.</w:t>
      </w:r>
    </w:p>
    <w:p w14:paraId="4C8B6118" w14:textId="77777777" w:rsidR="00A71D31" w:rsidRPr="00A71D31" w:rsidRDefault="00A71D31" w:rsidP="00A71D31">
      <w:pPr>
        <w:numPr>
          <w:ilvl w:val="1"/>
          <w:numId w:val="1"/>
        </w:numPr>
        <w:spacing w:line="276" w:lineRule="auto"/>
        <w:jc w:val="both"/>
        <w:rPr>
          <w:sz w:val="18"/>
          <w:szCs w:val="18"/>
        </w:rPr>
      </w:pPr>
      <w:r w:rsidRPr="00A71D31">
        <w:rPr>
          <w:rFonts w:eastAsia="Times New Roman" w:cs="Times New Roman"/>
          <w:b/>
          <w:sz w:val="18"/>
          <w:szCs w:val="18"/>
        </w:rPr>
        <w:t>Kişisel Verilerin Hangi Amaçla İşleneceği ve Hukuki Sebepleri</w:t>
      </w:r>
    </w:p>
    <w:p w14:paraId="074AD0BD" w14:textId="7CD215EE" w:rsidR="00F2478C" w:rsidRPr="00F2478C" w:rsidRDefault="00F2478C" w:rsidP="00F2478C">
      <w:pPr>
        <w:jc w:val="both"/>
        <w:rPr>
          <w:rFonts w:eastAsia="Times New Roman" w:cs="Times New Roman"/>
        </w:rPr>
      </w:pPr>
      <w:r w:rsidRPr="00F2478C">
        <w:rPr>
          <w:rFonts w:eastAsia="Times New Roman" w:cs="Times New Roman"/>
        </w:rPr>
        <w:t>Kişisel verilerinizin işlenmesine ilişkin amaç ve hukuki sebepler aşağıdaki tabloda yer almaktadır:</w:t>
      </w:r>
    </w:p>
    <w:tbl>
      <w:tblPr>
        <w:tblStyle w:val="TabloKlavuzu"/>
        <w:tblW w:w="10060" w:type="dxa"/>
        <w:tblLook w:val="04A0" w:firstRow="1" w:lastRow="0" w:firstColumn="1" w:lastColumn="0" w:noHBand="0" w:noVBand="1"/>
      </w:tblPr>
      <w:tblGrid>
        <w:gridCol w:w="5949"/>
        <w:gridCol w:w="4111"/>
      </w:tblGrid>
      <w:tr w:rsidR="00F2478C" w14:paraId="20AE8C49" w14:textId="77777777" w:rsidTr="00F2478C">
        <w:tc>
          <w:tcPr>
            <w:tcW w:w="5949" w:type="dxa"/>
          </w:tcPr>
          <w:p w14:paraId="5C36A5F2" w14:textId="77777777" w:rsidR="00F2478C" w:rsidRPr="00B91CFD" w:rsidRDefault="00F2478C" w:rsidP="00B91CFD">
            <w:pPr>
              <w:jc w:val="both"/>
              <w:rPr>
                <w:rFonts w:eastAsia="Times New Roman" w:cs="Times New Roman"/>
                <w:b/>
                <w:bCs/>
              </w:rPr>
            </w:pPr>
            <w:r w:rsidRPr="00B91CFD">
              <w:rPr>
                <w:rFonts w:eastAsia="Times New Roman" w:cs="Times New Roman"/>
                <w:b/>
                <w:bCs/>
              </w:rPr>
              <w:t>Amaç</w:t>
            </w:r>
          </w:p>
        </w:tc>
        <w:tc>
          <w:tcPr>
            <w:tcW w:w="4111" w:type="dxa"/>
          </w:tcPr>
          <w:p w14:paraId="3789131A" w14:textId="77777777" w:rsidR="00F2478C" w:rsidRPr="00B91CFD" w:rsidRDefault="00F2478C" w:rsidP="00B91CFD">
            <w:pPr>
              <w:jc w:val="both"/>
              <w:rPr>
                <w:rFonts w:eastAsia="Times New Roman" w:cs="Times New Roman"/>
                <w:b/>
                <w:bCs/>
              </w:rPr>
            </w:pPr>
            <w:r w:rsidRPr="00B91CFD">
              <w:rPr>
                <w:rFonts w:eastAsia="Times New Roman" w:cs="Times New Roman"/>
                <w:b/>
                <w:bCs/>
              </w:rPr>
              <w:t>Hukuki Sebep</w:t>
            </w:r>
          </w:p>
        </w:tc>
      </w:tr>
      <w:tr w:rsidR="00F2478C" w14:paraId="5D6D8254" w14:textId="77777777" w:rsidTr="00F2478C">
        <w:tc>
          <w:tcPr>
            <w:tcW w:w="5949" w:type="dxa"/>
          </w:tcPr>
          <w:p w14:paraId="63489D11" w14:textId="77777777" w:rsidR="00F2478C" w:rsidRDefault="00F2478C" w:rsidP="00B91CFD">
            <w:pPr>
              <w:rPr>
                <w:rFonts w:eastAsia="Times New Roman" w:cs="Times New Roman"/>
              </w:rPr>
            </w:pPr>
            <w:r w:rsidRPr="002E6ED6">
              <w:rPr>
                <w:rFonts w:eastAsia="Times New Roman" w:cs="Times New Roman"/>
              </w:rPr>
              <w:t xml:space="preserve">Çalışanlar İçin İş Akdi </w:t>
            </w:r>
            <w:r>
              <w:rPr>
                <w:rFonts w:eastAsia="Times New Roman" w:cs="Times New Roman"/>
              </w:rPr>
              <w:t>v</w:t>
            </w:r>
            <w:r w:rsidRPr="002E6ED6">
              <w:rPr>
                <w:rFonts w:eastAsia="Times New Roman" w:cs="Times New Roman"/>
              </w:rPr>
              <w:t>e Mevzuattan Kaynaklı Yükümlülüklerin Yerine Getirilmesi, Faaliyetlerin Mevzuata Uygun Yürütülmesi</w:t>
            </w:r>
          </w:p>
          <w:p w14:paraId="73BE7921" w14:textId="77777777" w:rsidR="00F2478C" w:rsidRDefault="00F2478C" w:rsidP="00B91CFD">
            <w:pPr>
              <w:rPr>
                <w:rFonts w:eastAsia="Times New Roman" w:cs="Times New Roman"/>
              </w:rPr>
            </w:pPr>
            <w:r w:rsidRPr="002E6ED6">
              <w:rPr>
                <w:rFonts w:eastAsia="Times New Roman" w:cs="Times New Roman"/>
              </w:rPr>
              <w:t xml:space="preserve">Finans </w:t>
            </w:r>
            <w:r>
              <w:rPr>
                <w:rFonts w:eastAsia="Times New Roman" w:cs="Times New Roman"/>
              </w:rPr>
              <w:t>v</w:t>
            </w:r>
            <w:r w:rsidRPr="002E6ED6">
              <w:rPr>
                <w:rFonts w:eastAsia="Times New Roman" w:cs="Times New Roman"/>
              </w:rPr>
              <w:t>e Muhasebe İşlerinin Yürütülmesi, İnsan Kaynakları Süreçlerinin Planlanması, İş Sağlığı / Güvenliği Faaliyetlerinin Yürütülmesi</w:t>
            </w:r>
            <w:r>
              <w:rPr>
                <w:rFonts w:eastAsia="Times New Roman" w:cs="Times New Roman"/>
              </w:rPr>
              <w:t xml:space="preserve">, </w:t>
            </w:r>
            <w:r w:rsidRPr="002E6ED6">
              <w:rPr>
                <w:rFonts w:eastAsia="Times New Roman" w:cs="Times New Roman"/>
              </w:rPr>
              <w:t>Ücret Politikasının Yürütülmesi</w:t>
            </w:r>
            <w:r>
              <w:rPr>
                <w:rFonts w:eastAsia="Times New Roman" w:cs="Times New Roman"/>
              </w:rPr>
              <w:t xml:space="preserve">, </w:t>
            </w:r>
            <w:r w:rsidRPr="002E6ED6">
              <w:rPr>
                <w:rFonts w:eastAsia="Times New Roman" w:cs="Times New Roman"/>
              </w:rPr>
              <w:t>İş Faaliyetlerinin Yürütülmesi / Denetimi, Lojistik Faaliyetlerinin Yürütülmesi, Mal / Hizmet Satın Alım Süreçlerinin Yürütülmesi, Tedarik Zinciri Yönetimi Süreçlerinin Yürütülmesi</w:t>
            </w:r>
          </w:p>
        </w:tc>
        <w:tc>
          <w:tcPr>
            <w:tcW w:w="4111" w:type="dxa"/>
          </w:tcPr>
          <w:p w14:paraId="6D39CCAA" w14:textId="77777777" w:rsidR="00F2478C" w:rsidRDefault="00F2478C" w:rsidP="00B91CFD">
            <w:pPr>
              <w:jc w:val="both"/>
              <w:rPr>
                <w:rFonts w:eastAsia="Times New Roman" w:cs="Times New Roman"/>
              </w:rPr>
            </w:pPr>
            <w:r w:rsidRPr="002E6ED6">
              <w:rPr>
                <w:rFonts w:eastAsia="Times New Roman" w:cs="Times New Roman"/>
              </w:rPr>
              <w:t>Bir hakkın tesisi, kullanılması veya korunması için veri işlemenin zorunlu olması</w:t>
            </w:r>
          </w:p>
        </w:tc>
      </w:tr>
      <w:tr w:rsidR="00F2478C" w14:paraId="7667AE2B" w14:textId="77777777" w:rsidTr="00F2478C">
        <w:tc>
          <w:tcPr>
            <w:tcW w:w="5949" w:type="dxa"/>
          </w:tcPr>
          <w:p w14:paraId="4D2DB1FF" w14:textId="77777777" w:rsidR="00F2478C" w:rsidRDefault="00F2478C" w:rsidP="00B91CFD">
            <w:pPr>
              <w:rPr>
                <w:rFonts w:eastAsia="Times New Roman" w:cs="Times New Roman"/>
              </w:rPr>
            </w:pPr>
            <w:r w:rsidRPr="002E6ED6">
              <w:rPr>
                <w:rFonts w:eastAsia="Times New Roman" w:cs="Times New Roman"/>
              </w:rPr>
              <w:t xml:space="preserve">Çalışanlar İçin Yan Haklar </w:t>
            </w:r>
            <w:r>
              <w:rPr>
                <w:rFonts w:eastAsia="Times New Roman" w:cs="Times New Roman"/>
              </w:rPr>
              <w:t>v</w:t>
            </w:r>
            <w:r w:rsidRPr="002E6ED6">
              <w:rPr>
                <w:rFonts w:eastAsia="Times New Roman" w:cs="Times New Roman"/>
              </w:rPr>
              <w:t>e Menfaatleri Süreçlerinin Yürütülmesi</w:t>
            </w:r>
            <w:r>
              <w:rPr>
                <w:rFonts w:eastAsia="Times New Roman" w:cs="Times New Roman"/>
              </w:rPr>
              <w:t xml:space="preserve">, </w:t>
            </w:r>
            <w:r w:rsidRPr="002E6ED6">
              <w:rPr>
                <w:rFonts w:eastAsia="Times New Roman" w:cs="Times New Roman"/>
              </w:rPr>
              <w:t>Eğitim Faaliyetlerinin Yürütülmesi</w:t>
            </w:r>
            <w:r>
              <w:rPr>
                <w:rFonts w:eastAsia="Times New Roman" w:cs="Times New Roman"/>
              </w:rPr>
              <w:t xml:space="preserve">, </w:t>
            </w:r>
            <w:r w:rsidRPr="002E6ED6">
              <w:rPr>
                <w:rFonts w:eastAsia="Times New Roman" w:cs="Times New Roman"/>
              </w:rPr>
              <w:t>Denetim / Etik Faaliyetlerinin Yürütülmesi, İnsan Kaynakları Süreçlerinin Planlanması</w:t>
            </w:r>
          </w:p>
        </w:tc>
        <w:tc>
          <w:tcPr>
            <w:tcW w:w="4111" w:type="dxa"/>
          </w:tcPr>
          <w:p w14:paraId="6D126989" w14:textId="77777777" w:rsidR="00F2478C" w:rsidRDefault="00F2478C" w:rsidP="00B91CFD">
            <w:pPr>
              <w:jc w:val="both"/>
              <w:rPr>
                <w:rFonts w:eastAsia="Times New Roman" w:cs="Times New Roman"/>
              </w:rPr>
            </w:pPr>
            <w:r w:rsidRPr="002E6ED6">
              <w:rPr>
                <w:rFonts w:eastAsia="Times New Roman" w:cs="Times New Roman"/>
              </w:rPr>
              <w:t>Bir sözleşmenin kurulması veya ifasıyla doğrudan doğruya ilgili olması kaydıyla, sözleşmenin taraflarına ait kişisel verilerin işlenmesinin gerekli olması</w:t>
            </w:r>
          </w:p>
        </w:tc>
      </w:tr>
      <w:tr w:rsidR="00F2478C" w14:paraId="059F717A" w14:textId="77777777" w:rsidTr="00F2478C">
        <w:tc>
          <w:tcPr>
            <w:tcW w:w="5949" w:type="dxa"/>
          </w:tcPr>
          <w:p w14:paraId="02919C23" w14:textId="77777777" w:rsidR="00F2478C" w:rsidRDefault="00F2478C" w:rsidP="00B91CFD">
            <w:pPr>
              <w:jc w:val="both"/>
              <w:rPr>
                <w:rFonts w:eastAsia="Times New Roman" w:cs="Times New Roman"/>
              </w:rPr>
            </w:pPr>
            <w:r w:rsidRPr="002E6ED6">
              <w:rPr>
                <w:rFonts w:eastAsia="Times New Roman" w:cs="Times New Roman"/>
              </w:rPr>
              <w:t>Faaliyetlerin Mevzuata Uygun Yürütülmesi</w:t>
            </w:r>
          </w:p>
        </w:tc>
        <w:tc>
          <w:tcPr>
            <w:tcW w:w="4111" w:type="dxa"/>
          </w:tcPr>
          <w:p w14:paraId="271FAF93" w14:textId="77777777" w:rsidR="00F2478C" w:rsidRDefault="00F2478C" w:rsidP="00B91CFD">
            <w:pPr>
              <w:jc w:val="both"/>
              <w:rPr>
                <w:rFonts w:eastAsia="Times New Roman" w:cs="Times New Roman"/>
              </w:rPr>
            </w:pPr>
            <w:r w:rsidRPr="002E6ED6">
              <w:rPr>
                <w:rFonts w:eastAsia="Times New Roman" w:cs="Times New Roman"/>
              </w:rPr>
              <w:t>Kanunlarda açıkça öngörülmesi</w:t>
            </w:r>
          </w:p>
        </w:tc>
      </w:tr>
    </w:tbl>
    <w:p w14:paraId="359C9A47" w14:textId="77777777" w:rsidR="00F2478C" w:rsidRPr="00F2478C" w:rsidRDefault="00F2478C" w:rsidP="00F2478C">
      <w:pPr>
        <w:spacing w:line="256" w:lineRule="auto"/>
        <w:ind w:left="360"/>
        <w:jc w:val="both"/>
        <w:rPr>
          <w:sz w:val="18"/>
          <w:szCs w:val="18"/>
        </w:rPr>
      </w:pPr>
    </w:p>
    <w:p w14:paraId="32E06F88" w14:textId="6AA1295F" w:rsidR="00A71D31" w:rsidRPr="00A71D31" w:rsidRDefault="00A71D31" w:rsidP="00A71D31">
      <w:pPr>
        <w:numPr>
          <w:ilvl w:val="2"/>
          <w:numId w:val="2"/>
        </w:numPr>
        <w:spacing w:line="256" w:lineRule="auto"/>
        <w:jc w:val="both"/>
        <w:rPr>
          <w:sz w:val="18"/>
          <w:szCs w:val="18"/>
        </w:rPr>
      </w:pPr>
      <w:r w:rsidRPr="00A71D31">
        <w:rPr>
          <w:rFonts w:eastAsia="Times New Roman" w:cs="Times New Roman"/>
          <w:sz w:val="18"/>
          <w:szCs w:val="18"/>
        </w:rPr>
        <w:t>Sağlık Bilgileri</w:t>
      </w:r>
      <w:r w:rsidR="00F2478C">
        <w:rPr>
          <w:rFonts w:eastAsia="Times New Roman" w:cs="Times New Roman"/>
          <w:sz w:val="18"/>
          <w:szCs w:val="18"/>
        </w:rPr>
        <w:t xml:space="preserve">niz ise </w:t>
      </w:r>
      <w:r w:rsidR="00F2478C" w:rsidRPr="00F2478C">
        <w:rPr>
          <w:rFonts w:eastAsia="Times New Roman" w:cs="Times New Roman"/>
          <w:sz w:val="18"/>
          <w:szCs w:val="18"/>
        </w:rPr>
        <w:t>KVKK ‘nın 6 ‘ncı maddesinin 3 ‘üncü fıkrasında yer alan “ f) İstihdam, iş sağlığı ve güvenliği, sosyal güvenlik, sosyal hizmetler ve sosyal yardım alanlarındaki hukuki yükümlülüklerin yerine getirilmesi için zorunlu olması”</w:t>
      </w:r>
    </w:p>
    <w:p w14:paraId="67237584" w14:textId="43BD12CE" w:rsidR="00A71D31" w:rsidRDefault="00A71D31" w:rsidP="00A71D31">
      <w:pPr>
        <w:spacing w:line="276" w:lineRule="auto"/>
        <w:jc w:val="both"/>
        <w:rPr>
          <w:rFonts w:eastAsia="Times New Roman" w:cs="Times New Roman"/>
          <w:sz w:val="18"/>
          <w:szCs w:val="18"/>
        </w:rPr>
      </w:pPr>
      <w:r w:rsidRPr="00A71D31">
        <w:rPr>
          <w:rFonts w:eastAsia="Times New Roman" w:cs="Times New Roman"/>
          <w:sz w:val="18"/>
          <w:szCs w:val="18"/>
        </w:rPr>
        <w:t>hukuki sebebine, istinaden işlenmektedir.</w:t>
      </w:r>
    </w:p>
    <w:p w14:paraId="5660433C" w14:textId="77777777" w:rsidR="00A71D31" w:rsidRPr="00A71D31" w:rsidRDefault="00A71D31" w:rsidP="00A71D31">
      <w:pPr>
        <w:numPr>
          <w:ilvl w:val="1"/>
          <w:numId w:val="1"/>
        </w:numPr>
        <w:spacing w:line="276" w:lineRule="auto"/>
        <w:jc w:val="both"/>
        <w:rPr>
          <w:sz w:val="18"/>
          <w:szCs w:val="18"/>
        </w:rPr>
      </w:pPr>
      <w:r w:rsidRPr="00A71D31">
        <w:rPr>
          <w:rFonts w:eastAsia="Times New Roman" w:cs="Times New Roman"/>
          <w:b/>
          <w:sz w:val="18"/>
          <w:szCs w:val="18"/>
        </w:rPr>
        <w:t>Kişisel Verilerin Toplama Yöntemi</w:t>
      </w:r>
    </w:p>
    <w:p w14:paraId="46003F6B" w14:textId="77777777" w:rsidR="00A71D31" w:rsidRPr="00A71D31" w:rsidRDefault="00A71D31" w:rsidP="00A71D31">
      <w:pPr>
        <w:spacing w:line="276" w:lineRule="auto"/>
        <w:jc w:val="both"/>
        <w:rPr>
          <w:sz w:val="18"/>
          <w:szCs w:val="18"/>
        </w:rPr>
      </w:pPr>
      <w:r w:rsidRPr="00A71D31">
        <w:rPr>
          <w:rFonts w:eastAsia="Times New Roman" w:cs="Times New Roman"/>
          <w:sz w:val="18"/>
          <w:szCs w:val="18"/>
        </w:rPr>
        <w:t>Kişisel verileriniz, yukarıdaki amaçların yerine getirilebilmesi için; otomatik ve otomatik olmayan yollarla; tarafınızca iletilmesi, e-posta gönderimi, telefon araması, kağıt form, özlük dosyası için talep edilen bilgi ve belgelerin iletilmesi, ilgili formların doldurulması, araç takip sistemleri, ERP ve diğer kurumsal yönetim yazılım sistemleri üzerinden, sözleşme imzalanması yollarıyla toplanır.</w:t>
      </w:r>
    </w:p>
    <w:p w14:paraId="128DD7EC" w14:textId="77777777" w:rsidR="00A71D31" w:rsidRPr="00A71D31" w:rsidRDefault="00A71D31" w:rsidP="00A71D31">
      <w:pPr>
        <w:numPr>
          <w:ilvl w:val="1"/>
          <w:numId w:val="1"/>
        </w:numPr>
        <w:spacing w:line="276" w:lineRule="auto"/>
        <w:jc w:val="both"/>
        <w:rPr>
          <w:sz w:val="18"/>
          <w:szCs w:val="18"/>
        </w:rPr>
      </w:pPr>
      <w:r w:rsidRPr="00A71D31">
        <w:rPr>
          <w:rFonts w:eastAsia="Times New Roman" w:cs="Times New Roman"/>
          <w:b/>
          <w:sz w:val="18"/>
          <w:szCs w:val="18"/>
        </w:rPr>
        <w:t>İşlenen Kişisel Verilerin Kimlere ve Hangi Amaçla Aktarılabileceği</w:t>
      </w:r>
    </w:p>
    <w:p w14:paraId="66A1295C" w14:textId="77777777" w:rsidR="00A71D31" w:rsidRPr="00A71D31" w:rsidRDefault="00A71D31" w:rsidP="00A71D31">
      <w:pPr>
        <w:spacing w:line="276" w:lineRule="auto"/>
        <w:jc w:val="both"/>
        <w:rPr>
          <w:rFonts w:eastAsia="Times New Roman" w:cs="Times New Roman"/>
          <w:sz w:val="18"/>
          <w:szCs w:val="18"/>
        </w:rPr>
      </w:pPr>
      <w:r w:rsidRPr="00A71D31">
        <w:rPr>
          <w:rFonts w:eastAsia="Times New Roman" w:cs="Times New Roman"/>
          <w:sz w:val="18"/>
          <w:szCs w:val="18"/>
        </w:rPr>
        <w:t xml:space="preserve">Kişisel verileriniz; </w:t>
      </w:r>
      <w:r w:rsidRPr="00A71D31">
        <w:rPr>
          <w:rFonts w:eastAsia="Times New Roman" w:cs="Times New Roman"/>
          <w:i/>
          <w:iCs/>
          <w:sz w:val="18"/>
          <w:szCs w:val="16"/>
        </w:rPr>
        <w:t>mal / hizmet satış süreçlerinin yürütülmesi, faaliyetin mevzuata uygun yürütülmesi, hukuk işlerinin takibi ve yürütülmesi, çalışanlar için iş akdi ve mevzuattan kaynaklı yükümlülüklerin yerine getirilmesi, iş sağlığı / güvenliği faaliyetlerinin yürütülmesi, eğitim faaliyetlerinin yürütülmesi, iş faaliyetlerinin yürütülmesi / denetimi, mal / hizmet satın alım süreçlerinin yürütülmesi</w:t>
      </w:r>
      <w:r w:rsidRPr="00A71D31">
        <w:rPr>
          <w:rFonts w:eastAsia="Times New Roman" w:cs="Times New Roman"/>
          <w:sz w:val="18"/>
          <w:szCs w:val="16"/>
        </w:rPr>
        <w:t xml:space="preserve"> amaçları ile yurt içindeki tedarikçiler, yetkili kamu kurum ve kuruluşları, gerçek kişiler veya özel hukuk tüzel kişileri alıcı gruplarına aktarılır.</w:t>
      </w:r>
    </w:p>
    <w:p w14:paraId="4FBCAA34" w14:textId="77777777" w:rsidR="00A71D31" w:rsidRPr="00A71D31" w:rsidRDefault="00A71D31" w:rsidP="00A71D31">
      <w:pPr>
        <w:numPr>
          <w:ilvl w:val="1"/>
          <w:numId w:val="1"/>
        </w:numPr>
        <w:spacing w:line="276" w:lineRule="auto"/>
        <w:jc w:val="both"/>
        <w:rPr>
          <w:sz w:val="18"/>
          <w:szCs w:val="18"/>
        </w:rPr>
      </w:pPr>
      <w:r w:rsidRPr="00A71D31">
        <w:rPr>
          <w:rFonts w:eastAsia="Times New Roman" w:cs="Times New Roman"/>
          <w:b/>
          <w:sz w:val="18"/>
          <w:szCs w:val="18"/>
        </w:rPr>
        <w:t>KVKK’nın 11. Maddesi Kapsamındaki Haklarınız</w:t>
      </w:r>
    </w:p>
    <w:p w14:paraId="13DA696E" w14:textId="77777777" w:rsidR="00A71D31" w:rsidRPr="00A71D31" w:rsidRDefault="00A71D31" w:rsidP="00A71D31">
      <w:pPr>
        <w:jc w:val="both"/>
        <w:rPr>
          <w:sz w:val="18"/>
          <w:szCs w:val="18"/>
        </w:rPr>
      </w:pPr>
      <w:r w:rsidRPr="00A71D31">
        <w:rPr>
          <w:rFonts w:eastAsia="Times New Roman" w:cs="Times New Roman"/>
          <w:sz w:val="18"/>
          <w:szCs w:val="18"/>
        </w:rPr>
        <w:t xml:space="preserve">KVKK’nın 11. maddesi kapsamında, veri sahibi olarak haklarınız bulunmakta olup bu haklarınız ile ilgili taleplerinizi </w:t>
      </w:r>
      <w:r w:rsidRPr="00A71D31">
        <w:rPr>
          <w:rFonts w:eastAsia="Times New Roman" w:cs="Times New Roman"/>
          <w:sz w:val="18"/>
          <w:szCs w:val="18"/>
          <w:u w:val="single"/>
        </w:rPr>
        <w:t>İlgili Kişi Başvuru Formu</w:t>
      </w:r>
      <w:r w:rsidRPr="00A71D31">
        <w:rPr>
          <w:rFonts w:eastAsia="Times New Roman" w:cs="Times New Roman"/>
          <w:sz w:val="18"/>
          <w:szCs w:val="18"/>
        </w:rPr>
        <w:t xml:space="preserve">’nda belirtilen bütün bilgileri doldurmak suretiyle KVKK’nın 11. maddesi ile 13. maddesinin 1. fıkrası ve </w:t>
      </w:r>
      <w:r w:rsidRPr="00A71D31">
        <w:rPr>
          <w:rFonts w:eastAsia="Times New Roman" w:cs="Times New Roman"/>
          <w:b/>
          <w:sz w:val="18"/>
          <w:szCs w:val="18"/>
        </w:rPr>
        <w:t xml:space="preserve">Veri Sorumlusuna Başvuru Usul ve Esasları Hakkında Tebliğ </w:t>
      </w:r>
      <w:r w:rsidRPr="00A71D31">
        <w:rPr>
          <w:rFonts w:eastAsia="Times New Roman" w:cs="Times New Roman"/>
          <w:sz w:val="18"/>
          <w:szCs w:val="18"/>
        </w:rPr>
        <w:t>gereğince,</w:t>
      </w:r>
    </w:p>
    <w:p w14:paraId="3D0B60F3" w14:textId="77777777" w:rsidR="00A71D31" w:rsidRPr="00A71D31" w:rsidRDefault="00A71D31" w:rsidP="00A71D31">
      <w:pPr>
        <w:numPr>
          <w:ilvl w:val="2"/>
          <w:numId w:val="3"/>
        </w:numPr>
        <w:spacing w:line="256" w:lineRule="auto"/>
        <w:jc w:val="both"/>
        <w:rPr>
          <w:sz w:val="18"/>
          <w:szCs w:val="18"/>
        </w:rPr>
      </w:pPr>
      <w:r w:rsidRPr="00A71D31">
        <w:rPr>
          <w:rFonts w:eastAsia="Times New Roman" w:cs="Times New Roman"/>
          <w:sz w:val="18"/>
          <w:szCs w:val="18"/>
        </w:rPr>
        <w:t>Tevfik İleri Mah. Emek Cad, Polat Sk. No:7, 06122 Pursaklar/Ankara adresindeki Şirketimize bizzat gelerek,</w:t>
      </w:r>
    </w:p>
    <w:p w14:paraId="789328C2" w14:textId="77777777" w:rsidR="00A71D31" w:rsidRPr="00A71D31" w:rsidRDefault="00182A70" w:rsidP="00A71D31">
      <w:pPr>
        <w:numPr>
          <w:ilvl w:val="2"/>
          <w:numId w:val="3"/>
        </w:numPr>
        <w:spacing w:line="256" w:lineRule="auto"/>
        <w:jc w:val="both"/>
        <w:rPr>
          <w:sz w:val="18"/>
          <w:szCs w:val="18"/>
        </w:rPr>
      </w:pPr>
      <w:hyperlink r:id="rId5" w:history="1">
        <w:r w:rsidR="00A71D31" w:rsidRPr="00A71D31">
          <w:rPr>
            <w:rStyle w:val="Kpr"/>
            <w:rFonts w:eastAsia="Times New Roman" w:cs="Times New Roman"/>
            <w:sz w:val="18"/>
            <w:szCs w:val="18"/>
          </w:rPr>
          <w:t>nitset@hs01.kep.tr</w:t>
        </w:r>
      </w:hyperlink>
      <w:r w:rsidR="00A71D31" w:rsidRPr="00A71D31">
        <w:rPr>
          <w:rFonts w:eastAsia="Times New Roman" w:cs="Times New Roman"/>
          <w:sz w:val="18"/>
          <w:szCs w:val="18"/>
        </w:rPr>
        <w:t xml:space="preserve"> şeklindeki kayıtlı elektronik posta (KEP) adresimiz üzerinden,</w:t>
      </w:r>
    </w:p>
    <w:p w14:paraId="408F9C8D" w14:textId="77777777" w:rsidR="00A71D31" w:rsidRPr="00A71D31" w:rsidRDefault="00A71D31" w:rsidP="00A71D31">
      <w:pPr>
        <w:numPr>
          <w:ilvl w:val="2"/>
          <w:numId w:val="3"/>
        </w:numPr>
        <w:spacing w:line="256" w:lineRule="auto"/>
        <w:jc w:val="both"/>
        <w:rPr>
          <w:sz w:val="18"/>
          <w:szCs w:val="18"/>
        </w:rPr>
      </w:pPr>
      <w:r w:rsidRPr="00A71D31">
        <w:rPr>
          <w:rFonts w:eastAsia="Times New Roman" w:cs="Times New Roman"/>
          <w:sz w:val="18"/>
          <w:szCs w:val="18"/>
        </w:rPr>
        <w:t>Kimliğinizi tespit edebilmek ve yanlış kişilere bilgi vermemek adına yazılı olarak noter aracılığı ile veya iadeli taahhütlü mektup ile,</w:t>
      </w:r>
    </w:p>
    <w:p w14:paraId="6075B3A6" w14:textId="77777777" w:rsidR="00A71D31" w:rsidRPr="00A71D31" w:rsidRDefault="00A71D31" w:rsidP="00A71D31">
      <w:pPr>
        <w:numPr>
          <w:ilvl w:val="2"/>
          <w:numId w:val="3"/>
        </w:numPr>
        <w:spacing w:line="256" w:lineRule="auto"/>
        <w:jc w:val="both"/>
        <w:rPr>
          <w:sz w:val="18"/>
          <w:szCs w:val="18"/>
        </w:rPr>
      </w:pPr>
      <w:r w:rsidRPr="00A71D31">
        <w:rPr>
          <w:rFonts w:eastAsia="Times New Roman" w:cs="Times New Roman"/>
          <w:sz w:val="18"/>
          <w:szCs w:val="18"/>
        </w:rPr>
        <w:t xml:space="preserve">Güvenli elektronik imza, mobil imza ya da (varsa) tarafınızca daha önce Şirketimize bildirilen ve sistemlerimizde kayıtlı bulunan elektronik posta adresini kullanmak suretiyle </w:t>
      </w:r>
      <w:hyperlink r:id="rId6" w:history="1">
        <w:r w:rsidRPr="00A71D31">
          <w:rPr>
            <w:rStyle w:val="Kpr"/>
            <w:rFonts w:eastAsia="Times New Roman" w:cs="Times New Roman"/>
            <w:sz w:val="18"/>
            <w:szCs w:val="18"/>
          </w:rPr>
          <w:t>kvkk@nitset.com.tr</w:t>
        </w:r>
      </w:hyperlink>
      <w:r w:rsidRPr="00A71D31">
        <w:rPr>
          <w:rFonts w:eastAsia="Times New Roman" w:cs="Times New Roman"/>
          <w:sz w:val="18"/>
          <w:szCs w:val="18"/>
        </w:rPr>
        <w:t xml:space="preserve"> adresine elektronik posta göndererek iletebilirsiniz.</w:t>
      </w:r>
    </w:p>
    <w:p w14:paraId="1E79CCC3" w14:textId="77777777" w:rsidR="00A71D31" w:rsidRPr="00A71D31" w:rsidRDefault="00A71D31" w:rsidP="00A71D31">
      <w:pPr>
        <w:spacing w:line="360" w:lineRule="auto"/>
        <w:ind w:firstLine="360"/>
        <w:jc w:val="both"/>
        <w:rPr>
          <w:rFonts w:cs="Times New Roman"/>
          <w:b/>
          <w:sz w:val="18"/>
          <w:szCs w:val="18"/>
          <w:u w:val="single"/>
        </w:rPr>
      </w:pPr>
      <w:r w:rsidRPr="00A71D31">
        <w:rPr>
          <w:rFonts w:eastAsia="Calibri" w:cs="Times New Roman"/>
          <w:noProof/>
          <w:sz w:val="18"/>
          <w:szCs w:val="18"/>
          <w:u w:val="single"/>
        </w:rPr>
        <mc:AlternateContent>
          <mc:Choice Requires="wps">
            <w:drawing>
              <wp:anchor distT="0" distB="0" distL="114300" distR="114300" simplePos="0" relativeHeight="251659264" behindDoc="0" locked="0" layoutInCell="1" allowOverlap="1" wp14:anchorId="30F3471A" wp14:editId="7FFB72E7">
                <wp:simplePos x="0" y="0"/>
                <wp:positionH relativeFrom="column">
                  <wp:posOffset>22225</wp:posOffset>
                </wp:positionH>
                <wp:positionV relativeFrom="paragraph">
                  <wp:posOffset>7620</wp:posOffset>
                </wp:positionV>
                <wp:extent cx="144780" cy="137160"/>
                <wp:effectExtent l="0" t="0" r="26670" b="15240"/>
                <wp:wrapNone/>
                <wp:docPr id="1" name="Dikdörtgen 1"/>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ED2A7" id="Dikdörtgen 1" o:spid="_x0000_s1026" style="position:absolute;margin-left:1.75pt;margin-top:.6pt;width:11.4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" fillcolor="white [3201]" strokecolor="#4ea72e [3209]" strokeweight="1pt"/>
            </w:pict>
          </mc:Fallback>
        </mc:AlternateContent>
      </w:r>
      <w:r w:rsidRPr="00A71D31">
        <w:rPr>
          <w:rFonts w:eastAsia="Calibri" w:cs="Times New Roman"/>
          <w:sz w:val="18"/>
          <w:szCs w:val="18"/>
          <w:u w:val="single"/>
        </w:rPr>
        <w:t>Çalışan/Stajyer Aydınlatma Metnini</w:t>
      </w:r>
      <w:r w:rsidRPr="00A71D31">
        <w:rPr>
          <w:rFonts w:eastAsia="Calibri" w:cs="Times New Roman"/>
          <w:sz w:val="18"/>
          <w:szCs w:val="18"/>
        </w:rPr>
        <w:t xml:space="preserve"> okudum ve anladım. </w:t>
      </w:r>
    </w:p>
    <w:p w14:paraId="41B10611" w14:textId="77777777" w:rsidR="00A71D31" w:rsidRPr="00A71D31" w:rsidRDefault="00A71D31" w:rsidP="00A71D31">
      <w:pPr>
        <w:tabs>
          <w:tab w:val="right" w:pos="9072"/>
        </w:tabs>
        <w:spacing w:line="360" w:lineRule="auto"/>
        <w:jc w:val="both"/>
        <w:rPr>
          <w:rFonts w:eastAsia="Calibri" w:cs="Times New Roman"/>
          <w:b/>
          <w:sz w:val="18"/>
          <w:szCs w:val="18"/>
        </w:rPr>
      </w:pPr>
      <w:r w:rsidRPr="00A71D31">
        <w:rPr>
          <w:rFonts w:eastAsia="Calibri" w:cs="Times New Roman"/>
          <w:b/>
          <w:sz w:val="18"/>
          <w:szCs w:val="18"/>
        </w:rPr>
        <w:t xml:space="preserve">6698 sayılı Kişisel Verilerin Korunması Kanunu (“KVKK”) kapsamında yukarıda yapılan bilgilendirmeyi okudum ve anladım. </w:t>
      </w:r>
    </w:p>
    <w:p w14:paraId="3F42A0FA" w14:textId="1AA947CF" w:rsidR="00A71D31" w:rsidRPr="00A71D31" w:rsidRDefault="00A71D31" w:rsidP="00A71D31">
      <w:pPr>
        <w:spacing w:line="360" w:lineRule="auto"/>
        <w:jc w:val="both"/>
        <w:rPr>
          <w:rFonts w:eastAsia="Calibri" w:cs="Times New Roman"/>
          <w:b/>
          <w:sz w:val="18"/>
          <w:szCs w:val="18"/>
        </w:rPr>
      </w:pPr>
      <w:r w:rsidRPr="00A71D31">
        <w:rPr>
          <w:rFonts w:eastAsia="Calibri" w:cs="Times New Roman"/>
          <w:b/>
          <w:sz w:val="18"/>
          <w:szCs w:val="18"/>
        </w:rPr>
        <w:t>İlgili Kişinin Adı / Soyadı</w:t>
      </w:r>
      <w:r w:rsidRPr="00A71D31">
        <w:rPr>
          <w:rFonts w:eastAsia="Calibri" w:cs="Times New Roman"/>
          <w:b/>
          <w:sz w:val="18"/>
          <w:szCs w:val="18"/>
        </w:rPr>
        <w:tab/>
      </w:r>
      <w:r>
        <w:rPr>
          <w:rFonts w:eastAsia="Calibri" w:cs="Times New Roman"/>
          <w:b/>
          <w:sz w:val="18"/>
          <w:szCs w:val="18"/>
        </w:rPr>
        <w:tab/>
      </w:r>
      <w:r w:rsidRPr="00A71D31">
        <w:rPr>
          <w:rFonts w:eastAsia="Calibri" w:cs="Times New Roman"/>
          <w:b/>
          <w:sz w:val="18"/>
          <w:szCs w:val="18"/>
        </w:rPr>
        <w:t>: …………………………….</w:t>
      </w:r>
    </w:p>
    <w:p w14:paraId="56B05EE9" w14:textId="77777777" w:rsidR="00A71D31" w:rsidRPr="00A71D31" w:rsidRDefault="00A71D31" w:rsidP="00A71D31">
      <w:pPr>
        <w:spacing w:line="360" w:lineRule="auto"/>
        <w:jc w:val="both"/>
        <w:rPr>
          <w:rFonts w:eastAsia="Calibri" w:cs="Times New Roman"/>
          <w:b/>
          <w:sz w:val="18"/>
          <w:szCs w:val="18"/>
        </w:rPr>
      </w:pPr>
      <w:r w:rsidRPr="00A71D31">
        <w:rPr>
          <w:rFonts w:eastAsia="Calibri" w:cs="Times New Roman"/>
          <w:b/>
          <w:sz w:val="18"/>
          <w:szCs w:val="18"/>
        </w:rPr>
        <w:t>Tarih</w:t>
      </w:r>
      <w:r w:rsidRPr="00A71D31">
        <w:rPr>
          <w:rFonts w:eastAsia="Calibri" w:cs="Times New Roman"/>
          <w:b/>
          <w:sz w:val="18"/>
          <w:szCs w:val="18"/>
        </w:rPr>
        <w:tab/>
      </w:r>
      <w:r w:rsidRPr="00A71D31">
        <w:rPr>
          <w:rFonts w:eastAsia="Calibri" w:cs="Times New Roman"/>
          <w:b/>
          <w:sz w:val="18"/>
          <w:szCs w:val="18"/>
        </w:rPr>
        <w:tab/>
      </w:r>
      <w:r w:rsidRPr="00A71D31">
        <w:rPr>
          <w:rFonts w:eastAsia="Calibri" w:cs="Times New Roman"/>
          <w:b/>
          <w:sz w:val="18"/>
          <w:szCs w:val="18"/>
        </w:rPr>
        <w:tab/>
      </w:r>
      <w:r w:rsidRPr="00A71D31">
        <w:rPr>
          <w:rFonts w:eastAsia="Calibri" w:cs="Times New Roman"/>
          <w:b/>
          <w:sz w:val="18"/>
          <w:szCs w:val="18"/>
        </w:rPr>
        <w:tab/>
        <w:t>: …………………………….</w:t>
      </w:r>
    </w:p>
    <w:p w14:paraId="42935F61" w14:textId="64CBB342" w:rsidR="00A71D31" w:rsidRPr="00A71D31" w:rsidRDefault="00A71D31" w:rsidP="00A71D31">
      <w:pPr>
        <w:spacing w:line="360" w:lineRule="auto"/>
        <w:jc w:val="both"/>
        <w:rPr>
          <w:rFonts w:eastAsia="Calibri" w:cs="Times New Roman"/>
          <w:b/>
          <w:sz w:val="18"/>
          <w:szCs w:val="18"/>
        </w:rPr>
      </w:pPr>
      <w:r w:rsidRPr="00A71D31">
        <w:rPr>
          <w:rFonts w:eastAsia="Calibri" w:cs="Times New Roman"/>
          <w:b/>
          <w:sz w:val="18"/>
          <w:szCs w:val="18"/>
        </w:rPr>
        <w:t>İmza</w:t>
      </w:r>
      <w:r w:rsidRPr="00A71D31">
        <w:rPr>
          <w:rFonts w:eastAsia="Calibri" w:cs="Times New Roman"/>
          <w:b/>
          <w:sz w:val="18"/>
          <w:szCs w:val="18"/>
        </w:rPr>
        <w:tab/>
      </w:r>
      <w:r w:rsidRPr="00A71D31">
        <w:rPr>
          <w:rFonts w:eastAsia="Calibri" w:cs="Times New Roman"/>
          <w:b/>
          <w:sz w:val="18"/>
          <w:szCs w:val="18"/>
        </w:rPr>
        <w:tab/>
      </w:r>
      <w:r w:rsidRPr="00A71D31">
        <w:rPr>
          <w:rFonts w:eastAsia="Calibri" w:cs="Times New Roman"/>
          <w:b/>
          <w:sz w:val="18"/>
          <w:szCs w:val="18"/>
        </w:rPr>
        <w:tab/>
      </w:r>
      <w:r w:rsidRPr="00A71D31">
        <w:rPr>
          <w:rFonts w:eastAsia="Calibri" w:cs="Times New Roman"/>
          <w:b/>
          <w:sz w:val="18"/>
          <w:szCs w:val="18"/>
        </w:rPr>
        <w:tab/>
        <w:t>: …………………………….</w:t>
      </w:r>
    </w:p>
    <w:sectPr w:rsidR="00A71D31" w:rsidRPr="00A71D31" w:rsidSect="00EA1AFB">
      <w:pgSz w:w="11906" w:h="16838"/>
      <w:pgMar w:top="709"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DD908"/>
    <w:multiLevelType w:val="hybridMultilevel"/>
    <w:tmpl w:val="2AAA2B66"/>
    <w:lvl w:ilvl="0" w:tplc="71CE8672">
      <w:start w:val="1"/>
      <w:numFmt w:val="decimal"/>
      <w:lvlText w:val="%1-"/>
      <w:lvlJc w:val="left"/>
      <w:rPr>
        <w:rFonts w:ascii="Times New Roman"/>
        <w:b/>
      </w:rPr>
    </w:lvl>
    <w:lvl w:ilvl="1" w:tplc="220CAACE">
      <w:start w:val="1"/>
      <w:numFmt w:val="lowerLetter"/>
      <w:lvlText w:val="%2)"/>
      <w:lvlJc w:val="left"/>
      <w:pPr>
        <w:ind w:left="360"/>
      </w:pPr>
      <w:rPr>
        <w:rFonts w:ascii="Times New Roman"/>
        <w:b/>
      </w:rPr>
    </w:lvl>
    <w:lvl w:ilvl="2" w:tplc="37BA693C">
      <w:start w:val="1"/>
      <w:numFmt w:val="bullet"/>
      <w:lvlText w:val="•"/>
      <w:lvlJc w:val="left"/>
      <w:pPr>
        <w:ind w:left="360"/>
      </w:pPr>
    </w:lvl>
    <w:lvl w:ilvl="3" w:tplc="9D24ECA6">
      <w:numFmt w:val="decimal"/>
      <w:lvlText w:val=""/>
      <w:lvlJc w:val="left"/>
    </w:lvl>
    <w:lvl w:ilvl="4" w:tplc="5B9CDAFE">
      <w:numFmt w:val="decimal"/>
      <w:lvlText w:val=""/>
      <w:lvlJc w:val="left"/>
    </w:lvl>
    <w:lvl w:ilvl="5" w:tplc="F3FEF514">
      <w:numFmt w:val="decimal"/>
      <w:lvlText w:val=""/>
      <w:lvlJc w:val="left"/>
    </w:lvl>
    <w:lvl w:ilvl="6" w:tplc="A808A646">
      <w:numFmt w:val="decimal"/>
      <w:lvlText w:val=""/>
      <w:lvlJc w:val="left"/>
    </w:lvl>
    <w:lvl w:ilvl="7" w:tplc="4744681E">
      <w:numFmt w:val="decimal"/>
      <w:lvlText w:val=""/>
      <w:lvlJc w:val="left"/>
    </w:lvl>
    <w:lvl w:ilvl="8" w:tplc="DF54451A">
      <w:numFmt w:val="decimal"/>
      <w:lvlText w:val=""/>
      <w:lvlJc w:val="left"/>
    </w:lvl>
  </w:abstractNum>
  <w:abstractNum w:abstractNumId="1" w15:restartNumberingAfterBreak="0">
    <w:nsid w:val="23A4D908"/>
    <w:multiLevelType w:val="hybridMultilevel"/>
    <w:tmpl w:val="88686448"/>
    <w:lvl w:ilvl="0" w:tplc="A9FA7CD2">
      <w:start w:val="1"/>
      <w:numFmt w:val="decimal"/>
      <w:lvlText w:val="%1-"/>
      <w:lvlJc w:val="left"/>
      <w:pPr>
        <w:ind w:left="0" w:firstLine="0"/>
      </w:pPr>
      <w:rPr>
        <w:rFonts w:ascii="Times New Roman"/>
        <w:b/>
      </w:rPr>
    </w:lvl>
    <w:lvl w:ilvl="1" w:tplc="2A96093A">
      <w:start w:val="1"/>
      <w:numFmt w:val="lowerLetter"/>
      <w:lvlText w:val="%2)"/>
      <w:lvlJc w:val="left"/>
      <w:pPr>
        <w:ind w:left="360" w:firstLine="0"/>
      </w:pPr>
      <w:rPr>
        <w:rFonts w:ascii="Times New Roman"/>
        <w:b/>
      </w:rPr>
    </w:lvl>
    <w:lvl w:ilvl="2" w:tplc="62A25E3E">
      <w:start w:val="1"/>
      <w:numFmt w:val="bullet"/>
      <w:lvlText w:val="•"/>
      <w:lvlJc w:val="left"/>
      <w:pPr>
        <w:ind w:left="360" w:firstLine="0"/>
      </w:pPr>
    </w:lvl>
    <w:lvl w:ilvl="3" w:tplc="CABC3EA0">
      <w:numFmt w:val="decimal"/>
      <w:lvlText w:val=""/>
      <w:lvlJc w:val="left"/>
      <w:pPr>
        <w:ind w:left="0" w:firstLine="0"/>
      </w:pPr>
    </w:lvl>
    <w:lvl w:ilvl="4" w:tplc="D7D20F3C">
      <w:numFmt w:val="decimal"/>
      <w:lvlText w:val=""/>
      <w:lvlJc w:val="left"/>
      <w:pPr>
        <w:ind w:left="0" w:firstLine="0"/>
      </w:pPr>
    </w:lvl>
    <w:lvl w:ilvl="5" w:tplc="B164CA86">
      <w:numFmt w:val="decimal"/>
      <w:lvlText w:val=""/>
      <w:lvlJc w:val="left"/>
      <w:pPr>
        <w:ind w:left="0" w:firstLine="0"/>
      </w:pPr>
    </w:lvl>
    <w:lvl w:ilvl="6" w:tplc="1916E672">
      <w:numFmt w:val="decimal"/>
      <w:lvlText w:val=""/>
      <w:lvlJc w:val="left"/>
      <w:pPr>
        <w:ind w:left="0" w:firstLine="0"/>
      </w:pPr>
    </w:lvl>
    <w:lvl w:ilvl="7" w:tplc="549EA3A8">
      <w:numFmt w:val="decimal"/>
      <w:lvlText w:val=""/>
      <w:lvlJc w:val="left"/>
      <w:pPr>
        <w:ind w:left="0" w:firstLine="0"/>
      </w:pPr>
    </w:lvl>
    <w:lvl w:ilvl="8" w:tplc="D3CAA134">
      <w:numFmt w:val="decimal"/>
      <w:lvlText w:val=""/>
      <w:lvlJc w:val="left"/>
      <w:pPr>
        <w:ind w:left="0" w:firstLine="0"/>
      </w:pPr>
    </w:lvl>
  </w:abstractNum>
  <w:abstractNum w:abstractNumId="2" w15:restartNumberingAfterBreak="0">
    <w:nsid w:val="24A4D908"/>
    <w:multiLevelType w:val="hybridMultilevel"/>
    <w:tmpl w:val="33968A96"/>
    <w:lvl w:ilvl="0" w:tplc="34309BA4">
      <w:start w:val="1"/>
      <w:numFmt w:val="decimal"/>
      <w:lvlText w:val="%1-"/>
      <w:lvlJc w:val="left"/>
      <w:pPr>
        <w:ind w:left="0" w:firstLine="0"/>
      </w:pPr>
      <w:rPr>
        <w:rFonts w:ascii="Times New Roman"/>
        <w:b/>
      </w:rPr>
    </w:lvl>
    <w:lvl w:ilvl="1" w:tplc="4CA6D410">
      <w:start w:val="1"/>
      <w:numFmt w:val="lowerLetter"/>
      <w:lvlText w:val="%2)"/>
      <w:lvlJc w:val="left"/>
      <w:pPr>
        <w:ind w:left="360" w:firstLine="0"/>
      </w:pPr>
      <w:rPr>
        <w:rFonts w:ascii="Times New Roman"/>
        <w:b/>
      </w:rPr>
    </w:lvl>
    <w:lvl w:ilvl="2" w:tplc="027C9328">
      <w:start w:val="1"/>
      <w:numFmt w:val="bullet"/>
      <w:lvlText w:val="•"/>
      <w:lvlJc w:val="left"/>
      <w:pPr>
        <w:ind w:left="360" w:firstLine="0"/>
      </w:pPr>
    </w:lvl>
    <w:lvl w:ilvl="3" w:tplc="E1CE4126">
      <w:numFmt w:val="decimal"/>
      <w:lvlText w:val=""/>
      <w:lvlJc w:val="left"/>
      <w:pPr>
        <w:ind w:left="0" w:firstLine="0"/>
      </w:pPr>
    </w:lvl>
    <w:lvl w:ilvl="4" w:tplc="AC7C8E72">
      <w:numFmt w:val="decimal"/>
      <w:lvlText w:val=""/>
      <w:lvlJc w:val="left"/>
      <w:pPr>
        <w:ind w:left="0" w:firstLine="0"/>
      </w:pPr>
    </w:lvl>
    <w:lvl w:ilvl="5" w:tplc="4A5C16EC">
      <w:numFmt w:val="decimal"/>
      <w:lvlText w:val=""/>
      <w:lvlJc w:val="left"/>
      <w:pPr>
        <w:ind w:left="0" w:firstLine="0"/>
      </w:pPr>
    </w:lvl>
    <w:lvl w:ilvl="6" w:tplc="BC5EECDE">
      <w:numFmt w:val="decimal"/>
      <w:lvlText w:val=""/>
      <w:lvlJc w:val="left"/>
      <w:pPr>
        <w:ind w:left="0" w:firstLine="0"/>
      </w:pPr>
    </w:lvl>
    <w:lvl w:ilvl="7" w:tplc="8E443766">
      <w:numFmt w:val="decimal"/>
      <w:lvlText w:val=""/>
      <w:lvlJc w:val="left"/>
      <w:pPr>
        <w:ind w:left="0" w:firstLine="0"/>
      </w:pPr>
    </w:lvl>
    <w:lvl w:ilvl="8" w:tplc="D5DC089E">
      <w:numFmt w:val="decimal"/>
      <w:lvlText w:val=""/>
      <w:lvlJc w:val="left"/>
      <w:pPr>
        <w:ind w:left="0" w:firstLine="0"/>
      </w:pPr>
    </w:lvl>
  </w:abstractNum>
  <w:num w:numId="1" w16cid:durableId="52195879">
    <w:abstractNumId w:val="0"/>
  </w:num>
  <w:num w:numId="2" w16cid:durableId="92577152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95763700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31"/>
    <w:rsid w:val="00182A70"/>
    <w:rsid w:val="002B0F3A"/>
    <w:rsid w:val="002E0638"/>
    <w:rsid w:val="00A71D31"/>
    <w:rsid w:val="00E803E0"/>
    <w:rsid w:val="00EA1AFB"/>
    <w:rsid w:val="00F247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868D"/>
  <w15:chartTrackingRefBased/>
  <w15:docId w15:val="{21D84B73-6AFC-409F-BC4E-9D6CDA58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31"/>
    <w:rPr>
      <w:rFonts w:ascii="Times New Roman" w:hAnsi="Times New Roman"/>
      <w:kern w:val="0"/>
      <w:sz w:val="20"/>
      <w:szCs w:val="20"/>
      <w14:ligatures w14:val="none"/>
    </w:rPr>
  </w:style>
  <w:style w:type="paragraph" w:styleId="Balk1">
    <w:name w:val="heading 1"/>
    <w:basedOn w:val="Normal"/>
    <w:next w:val="Normal"/>
    <w:link w:val="Balk1Char"/>
    <w:uiPriority w:val="9"/>
    <w:qFormat/>
    <w:rsid w:val="00A71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A71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71D3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71D3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71D3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71D3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71D3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71D3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71D3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1D3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A71D3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71D3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71D3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71D3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71D3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71D3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71D3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71D31"/>
    <w:rPr>
      <w:rFonts w:eastAsiaTheme="majorEastAsia" w:cstheme="majorBidi"/>
      <w:color w:val="272727" w:themeColor="text1" w:themeTint="D8"/>
    </w:rPr>
  </w:style>
  <w:style w:type="paragraph" w:styleId="KonuBal">
    <w:name w:val="Title"/>
    <w:basedOn w:val="Normal"/>
    <w:next w:val="Normal"/>
    <w:link w:val="KonuBalChar"/>
    <w:uiPriority w:val="10"/>
    <w:qFormat/>
    <w:rsid w:val="00A71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71D3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71D3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71D3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71D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71D31"/>
    <w:rPr>
      <w:i/>
      <w:iCs/>
      <w:color w:val="404040" w:themeColor="text1" w:themeTint="BF"/>
    </w:rPr>
  </w:style>
  <w:style w:type="paragraph" w:styleId="ListeParagraf">
    <w:name w:val="List Paragraph"/>
    <w:basedOn w:val="Normal"/>
    <w:uiPriority w:val="34"/>
    <w:qFormat/>
    <w:rsid w:val="00A71D31"/>
    <w:pPr>
      <w:ind w:left="720"/>
      <w:contextualSpacing/>
    </w:pPr>
  </w:style>
  <w:style w:type="character" w:styleId="GlVurgulama">
    <w:name w:val="Intense Emphasis"/>
    <w:basedOn w:val="VarsaylanParagrafYazTipi"/>
    <w:uiPriority w:val="21"/>
    <w:qFormat/>
    <w:rsid w:val="00A71D31"/>
    <w:rPr>
      <w:i/>
      <w:iCs/>
      <w:color w:val="0F4761" w:themeColor="accent1" w:themeShade="BF"/>
    </w:rPr>
  </w:style>
  <w:style w:type="paragraph" w:styleId="GlAlnt">
    <w:name w:val="Intense Quote"/>
    <w:basedOn w:val="Normal"/>
    <w:next w:val="Normal"/>
    <w:link w:val="GlAlntChar"/>
    <w:uiPriority w:val="30"/>
    <w:qFormat/>
    <w:rsid w:val="00A71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71D31"/>
    <w:rPr>
      <w:i/>
      <w:iCs/>
      <w:color w:val="0F4761" w:themeColor="accent1" w:themeShade="BF"/>
    </w:rPr>
  </w:style>
  <w:style w:type="character" w:styleId="GlBavuru">
    <w:name w:val="Intense Reference"/>
    <w:basedOn w:val="VarsaylanParagrafYazTipi"/>
    <w:uiPriority w:val="32"/>
    <w:qFormat/>
    <w:rsid w:val="00A71D31"/>
    <w:rPr>
      <w:b/>
      <w:bCs/>
      <w:smallCaps/>
      <w:color w:val="0F4761" w:themeColor="accent1" w:themeShade="BF"/>
      <w:spacing w:val="5"/>
    </w:rPr>
  </w:style>
  <w:style w:type="character" w:styleId="AklamaBavurusu">
    <w:name w:val="annotation reference"/>
    <w:basedOn w:val="VarsaylanParagrafYazTipi"/>
    <w:uiPriority w:val="99"/>
    <w:unhideWhenUsed/>
    <w:rsid w:val="00A71D31"/>
    <w:rPr>
      <w:sz w:val="16"/>
      <w:szCs w:val="16"/>
    </w:rPr>
  </w:style>
  <w:style w:type="paragraph" w:styleId="AklamaMetni">
    <w:name w:val="annotation text"/>
    <w:basedOn w:val="Normal"/>
    <w:link w:val="AklamaMetniChar"/>
    <w:uiPriority w:val="99"/>
    <w:unhideWhenUsed/>
    <w:rsid w:val="00A71D31"/>
    <w:pPr>
      <w:spacing w:line="240" w:lineRule="auto"/>
    </w:pPr>
  </w:style>
  <w:style w:type="character" w:customStyle="1" w:styleId="AklamaMetniChar">
    <w:name w:val="Açıklama Metni Char"/>
    <w:basedOn w:val="VarsaylanParagrafYazTipi"/>
    <w:link w:val="AklamaMetni"/>
    <w:uiPriority w:val="99"/>
    <w:rsid w:val="00A71D31"/>
    <w:rPr>
      <w:rFonts w:ascii="Times New Roman" w:hAnsi="Times New Roman"/>
      <w:kern w:val="0"/>
      <w:sz w:val="20"/>
      <w:szCs w:val="20"/>
      <w14:ligatures w14:val="none"/>
    </w:rPr>
  </w:style>
  <w:style w:type="character" w:styleId="Kpr">
    <w:name w:val="Hyperlink"/>
    <w:basedOn w:val="VarsaylanParagrafYazTipi"/>
    <w:uiPriority w:val="99"/>
    <w:unhideWhenUsed/>
    <w:rsid w:val="00A71D31"/>
    <w:rPr>
      <w:color w:val="467886" w:themeColor="hyperlink"/>
      <w:u w:val="single"/>
    </w:rPr>
  </w:style>
  <w:style w:type="table" w:styleId="TabloKlavuzu">
    <w:name w:val="Table Grid"/>
    <w:basedOn w:val="NormalTablo"/>
    <w:uiPriority w:val="39"/>
    <w:rsid w:val="00A71D31"/>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k@nitset.com.tr" TargetMode="External"/><Relationship Id="rId5" Type="http://schemas.openxmlformats.org/officeDocument/2006/relationships/hyperlink" Target="mailto:nitset@hs01.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Sebahattin KURU</dc:creator>
  <cp:keywords/>
  <dc:description/>
  <cp:lastModifiedBy>Sebahattin KURU</cp:lastModifiedBy>
  <cp:revision>6</cp:revision>
  <dcterms:created xsi:type="dcterms:W3CDTF">2024-02-19T04:17:00Z</dcterms:created>
  <dcterms:modified xsi:type="dcterms:W3CDTF">2024-05-06T05:51:00Z</dcterms:modified>
</cp:coreProperties>
</file>